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spacing w:before="0" w:after="0"/>
      </w:pPr>
      <w:r>
        <w:rPr>
          <w:rFonts w:ascii="Calibri" w:hAnsi="Calibri"/>
          <w:b/>
          <w:color w:val="1E3A8A"/>
          <w:sz w:val="36"/>
        </w:rPr>
        <w:t>Forderungsaufstellung</w:t>
      </w:r>
    </w:p>
    <w:p>
      <w:pPr>
        <w:spacing w:after="120"/>
      </w:pPr>
      <w:r>
        <w:rPr>
          <w:b w:val="0"/>
          <w:i w:val="0"/>
          <w:color w:val="64748B"/>
          <w:sz w:val="18"/>
        </w:rPr>
        <w:t>Vorlage von fordify.de</w:t>
      </w:r>
    </w:p>
    <w:tbl>
      <w:tblPr>
        <w:tblW w:type="auto" w:w="0"/>
        <w:jc w:val="left"/>
        <w:tblLayout w:type="fixed"/>
        <w:tblLook w:firstColumn="1" w:firstRow="1" w:lastColumn="0" w:lastRow="0" w:noHBand="0" w:noVBand="1" w:val="04A0"/>
      </w:tblPr>
      <w:tblGrid>
        <w:gridCol w:w="2835"/>
        <w:gridCol w:w="6803"/>
      </w:tblGrid>
      <w:tr>
        <w:tc>
          <w:tcPr>
            <w:tcW w:type="dxa" w:w="2835"/>
          </w:tcPr>
          <w:p>
            <w:pPr>
              <w:spacing w:after="20"/>
            </w:pPr>
            <w:r>
              <w:rPr>
                <w:b/>
                <w:sz w:val="18"/>
              </w:rPr>
              <w:t>Gläubiger</w:t>
            </w:r>
          </w:p>
        </w:tc>
        <w:tc>
          <w:tcPr>
            <w:tcW w:type="dxa" w:w="6803"/>
          </w:tcPr>
          <w:p>
            <w:pPr>
              <w:spacing w:after="20"/>
            </w:pPr>
            <w:r>
              <w:rPr>
                <w:i/>
                <w:color w:val="64748B"/>
                <w:sz w:val="18"/>
              </w:rPr>
            </w:r>
          </w:p>
        </w:tc>
      </w:tr>
      <w:tr>
        <w:tc>
          <w:tcPr>
            <w:tcW w:type="dxa" w:w="2835"/>
          </w:tcPr>
          <w:p>
            <w:pPr>
              <w:spacing w:after="20"/>
            </w:pPr>
            <w:r>
              <w:rPr>
                <w:b/>
                <w:sz w:val="18"/>
              </w:rPr>
              <w:t>Schuldner</w:t>
            </w:r>
          </w:p>
        </w:tc>
        <w:tc>
          <w:tcPr>
            <w:tcW w:type="dxa" w:w="6803"/>
          </w:tcPr>
          <w:p>
            <w:pPr>
              <w:spacing w:after="20"/>
            </w:pPr>
            <w:r>
              <w:rPr>
                <w:i/>
                <w:color w:val="64748B"/>
                <w:sz w:val="18"/>
              </w:rPr>
            </w:r>
          </w:p>
        </w:tc>
      </w:tr>
      <w:tr>
        <w:tc>
          <w:tcPr>
            <w:tcW w:type="dxa" w:w="2835"/>
          </w:tcPr>
          <w:p>
            <w:pPr>
              <w:spacing w:after="20"/>
            </w:pPr>
            <w:r>
              <w:rPr>
                <w:b/>
                <w:sz w:val="18"/>
              </w:rPr>
              <w:t>Ihr Aktenzeichen</w:t>
            </w:r>
          </w:p>
        </w:tc>
        <w:tc>
          <w:tcPr>
            <w:tcW w:type="dxa" w:w="6803"/>
          </w:tcPr>
          <w:p>
            <w:pPr>
              <w:spacing w:after="20"/>
            </w:pPr>
            <w:r>
              <w:rPr>
                <w:i/>
                <w:color w:val="64748B"/>
                <w:sz w:val="18"/>
              </w:rPr>
            </w:r>
          </w:p>
        </w:tc>
      </w:tr>
      <w:tr>
        <w:tc>
          <w:tcPr>
            <w:tcW w:type="dxa" w:w="2835"/>
          </w:tcPr>
          <w:p>
            <w:pPr>
              <w:spacing w:after="20"/>
            </w:pPr>
            <w:r>
              <w:rPr>
                <w:b/>
                <w:sz w:val="18"/>
              </w:rPr>
              <w:t>Stand</w:t>
            </w:r>
          </w:p>
        </w:tc>
        <w:tc>
          <w:tcPr>
            <w:tcW w:type="dxa" w:w="6803"/>
          </w:tcPr>
          <w:p>
            <w:pPr>
              <w:spacing w:after="20"/>
            </w:pPr>
            <w:r>
              <w:rPr>
                <w:i/>
                <w:color w:val="64748B"/>
                <w:sz w:val="18"/>
              </w:rPr>
            </w:r>
          </w:p>
        </w:tc>
      </w:tr>
      <w:tr>
        <w:tc>
          <w:tcPr>
            <w:tcW w:type="dxa" w:w="2835"/>
          </w:tcPr>
          <w:p>
            <w:pPr>
              <w:spacing w:after="20"/>
            </w:pPr>
            <w:r>
              <w:rPr>
                <w:b/>
                <w:sz w:val="18"/>
              </w:rPr>
              <w:t>Titel / Aktenzeichen des Titels</w:t>
            </w:r>
          </w:p>
        </w:tc>
        <w:tc>
          <w:tcPr>
            <w:tcW w:type="dxa" w:w="6803"/>
          </w:tcPr>
          <w:p>
            <w:pPr>
              <w:spacing w:after="20"/>
            </w:pPr>
            <w:r>
              <w:rPr>
                <w:i/>
                <w:color w:val="64748B"/>
                <w:sz w:val="18"/>
              </w:rPr>
              <w:t>falls vorhanden</w:t>
            </w:r>
          </w:p>
        </w:tc>
      </w:tr>
    </w:tbl>
    <w:p>
      <w:pPr>
        <w:spacing w:before="0" w:after="0" w:line="80" w:lineRule="exact"/>
      </w:pPr>
    </w:p>
    <w:tbl>
      <w:tblPr>
        <w:tblW w:type="auto" w:w="0"/>
        <w:tblLook w:firstColumn="1" w:firstRow="1" w:lastColumn="0" w:lastRow="0" w:noHBand="0" w:noVBand="1" w:val="04A0"/>
      </w:tblPr>
      <w:tblGrid>
        <w:gridCol w:w="9638"/>
      </w:tblGrid>
      <w:tr>
        <w:tc>
          <w:tcPr>
            <w:tcW w:type="dxa" w:w="9638"/>
            <w:shd w:val="clear" w:fill="FEE2E2"/>
          </w:tcPr>
          <w:p>
            <w:pPr>
              <w:spacing w:after="0"/>
            </w:pPr>
            <w:r>
              <w:rPr>
                <w:b/>
                <w:color w:val="B41C1C"/>
                <w:sz w:val="20"/>
              </w:rPr>
              <w:t>Beispielzeilen – vor Verwendung löschen</w:t>
            </w:r>
          </w:p>
        </w:tc>
      </w:tr>
    </w:tbl>
    <w:p>
      <w:pPr>
        <w:spacing w:before="0" w:after="0" w:line="80" w:lineRule="exact"/>
      </w:pPr>
    </w:p>
    <w:tbl>
      <w:tblPr>
        <w:tblStyle w:val="TableGrid"/>
        <w:tblW w:type="auto" w:w="0"/>
        <w:tblLayout w:type="fixed"/>
        <w:tblLook w:firstColumn="1" w:firstRow="1" w:lastColumn="0" w:lastRow="0" w:noHBand="0" w:noVBand="1" w:val="04A0"/>
      </w:tblPr>
      <w:tblGrid>
        <w:gridCol w:w="1134"/>
        <w:gridCol w:w="3628"/>
        <w:gridCol w:w="1134"/>
        <w:gridCol w:w="1077"/>
        <w:gridCol w:w="1304"/>
        <w:gridCol w:w="1361"/>
      </w:tblGrid>
      <w:tr>
        <w:tc>
          <w:tcPr>
            <w:tcW w:type="dxa" w:w="1134"/>
            <w:shd w:val="clear" w:fill="E0E7FF"/>
          </w:tcPr>
          <w:p>
            <w:pPr>
              <w:spacing w:after="0"/>
            </w:pPr>
            <w:r>
              <w:rPr>
                <w:b/>
                <w:sz w:val="18"/>
              </w:rPr>
              <w:t>Datum</w:t>
            </w:r>
          </w:p>
        </w:tc>
        <w:tc>
          <w:tcPr>
            <w:tcW w:type="dxa" w:w="3628"/>
            <w:shd w:val="clear" w:fill="E0E7FF"/>
          </w:tcPr>
          <w:p>
            <w:pPr>
              <w:spacing w:after="0"/>
            </w:pPr>
            <w:r>
              <w:rPr>
                <w:b/>
                <w:sz w:val="18"/>
              </w:rPr>
              <w:t>Bezeichnung</w:t>
            </w:r>
          </w:p>
        </w:tc>
        <w:tc>
          <w:tcPr>
            <w:tcW w:type="dxa" w:w="1134"/>
            <w:shd w:val="clear" w:fill="E0E7FF"/>
          </w:tcPr>
          <w:p>
            <w:pPr>
              <w:spacing w:after="0"/>
              <w:jc w:val="right"/>
            </w:pPr>
            <w:r>
              <w:rPr>
                <w:b/>
                <w:sz w:val="18"/>
              </w:rPr>
              <w:t>Forderung</w:t>
            </w:r>
          </w:p>
        </w:tc>
        <w:tc>
          <w:tcPr>
            <w:tcW w:type="dxa" w:w="1077"/>
            <w:shd w:val="clear" w:fill="E0E7FF"/>
          </w:tcPr>
          <w:p>
            <w:pPr>
              <w:spacing w:after="0"/>
              <w:jc w:val="right"/>
            </w:pPr>
            <w:r>
              <w:rPr>
                <w:b/>
                <w:sz w:val="18"/>
              </w:rPr>
              <w:t>Zahlung</w:t>
            </w:r>
          </w:p>
        </w:tc>
        <w:tc>
          <w:tcPr>
            <w:tcW w:type="dxa" w:w="1304"/>
            <w:shd w:val="clear" w:fill="E0E7FF"/>
          </w:tcPr>
          <w:p>
            <w:pPr>
              <w:spacing w:after="0"/>
              <w:jc w:val="right"/>
            </w:pPr>
            <w:r>
              <w:rPr>
                <w:b/>
                <w:sz w:val="18"/>
              </w:rPr>
              <w:t>Anrechnung</w:t>
            </w:r>
          </w:p>
        </w:tc>
        <w:tc>
          <w:tcPr>
            <w:tcW w:type="dxa" w:w="1361"/>
            <w:shd w:val="clear" w:fill="E0E7FF"/>
          </w:tcPr>
          <w:p>
            <w:pPr>
              <w:spacing w:after="0"/>
              <w:jc w:val="right"/>
            </w:pPr>
            <w:r>
              <w:rPr>
                <w:b/>
                <w:sz w:val="18"/>
              </w:rPr>
              <w:t>Restforderung</w:t>
            </w:r>
          </w:p>
        </w:tc>
      </w:tr>
      <w:tr>
        <w:tc>
          <w:tcPr>
            <w:tcW w:type="dxa" w:w="1134"/>
            <w:shd w:val="clear" w:fill="F1F5F9"/>
          </w:tcPr>
          <w:p>
            <w:pPr>
              <w:spacing w:after="0"/>
            </w:pPr>
            <w:r>
              <w:rPr>
                <w:b w:val="0"/>
                <w:i/>
                <w:color w:val="64748B"/>
                <w:sz w:val="18"/>
              </w:rPr>
              <w:t>15.07.2026</w:t>
            </w:r>
          </w:p>
        </w:tc>
        <w:tc>
          <w:tcPr>
            <w:tcW w:type="dxa" w:w="3628"/>
            <w:shd w:val="clear" w:fill="F1F5F9"/>
          </w:tcPr>
          <w:p>
            <w:pPr>
              <w:spacing w:after="0"/>
            </w:pPr>
            <w:r>
              <w:rPr>
                <w:b w:val="0"/>
                <w:i/>
                <w:color w:val="64748B"/>
                <w:sz w:val="18"/>
              </w:rPr>
              <w:t>Beispiel: Hauptforderung, Rechnung 2026-114</w:t>
            </w:r>
          </w:p>
        </w:tc>
        <w:tc>
          <w:tcPr>
            <w:tcW w:type="dxa" w:w="1134"/>
            <w:shd w:val="clear" w:fill="F1F5F9"/>
          </w:tcPr>
          <w:p>
            <w:pPr>
              <w:spacing w:after="0"/>
              <w:jc w:val="right"/>
            </w:pPr>
            <w:r>
              <w:rPr>
                <w:b w:val="0"/>
                <w:i/>
                <w:color w:val="64748B"/>
                <w:sz w:val="18"/>
              </w:rPr>
              <w:t>15.000,00</w:t>
            </w:r>
          </w:p>
        </w:tc>
        <w:tc>
          <w:tcPr>
            <w:tcW w:type="dxa" w:w="1077"/>
            <w:shd w:val="clear" w:fill="F1F5F9"/>
          </w:tcPr>
          <w:p>
            <w:pPr>
              <w:spacing w:after="0"/>
              <w:jc w:val="right"/>
            </w:pPr>
            <w:r>
              <w:rPr>
                <w:b w:val="0"/>
                <w:i/>
                <w:color w:val="64748B"/>
                <w:sz w:val="18"/>
              </w:rPr>
            </w:r>
          </w:p>
        </w:tc>
        <w:tc>
          <w:tcPr>
            <w:tcW w:type="dxa" w:w="1304"/>
            <w:shd w:val="clear" w:fill="F1F5F9"/>
          </w:tcPr>
          <w:p>
            <w:pPr>
              <w:spacing w:after="0"/>
              <w:jc w:val="right"/>
            </w:pPr>
            <w:r>
              <w:rPr>
                <w:b w:val="0"/>
                <w:i/>
                <w:color w:val="64748B"/>
                <w:sz w:val="18"/>
              </w:rPr>
            </w:r>
          </w:p>
        </w:tc>
        <w:tc>
          <w:tcPr>
            <w:tcW w:type="dxa" w:w="1361"/>
            <w:shd w:val="clear" w:fill="F1F5F9"/>
          </w:tcPr>
          <w:p>
            <w:pPr>
              <w:spacing w:after="0"/>
              <w:jc w:val="right"/>
            </w:pPr>
            <w:r>
              <w:rPr>
                <w:b w:val="0"/>
                <w:i/>
                <w:color w:val="64748B"/>
                <w:sz w:val="18"/>
              </w:rPr>
              <w:t>15.000,00</w:t>
            </w:r>
          </w:p>
        </w:tc>
      </w:tr>
      <w:tr>
        <w:tc>
          <w:tcPr>
            <w:tcW w:type="dxa" w:w="1134"/>
            <w:shd w:val="clear" w:fill="F1F5F9"/>
          </w:tcPr>
          <w:p>
            <w:pPr>
              <w:spacing w:after="0"/>
            </w:pPr>
            <w:r>
              <w:rPr>
                <w:b w:val="0"/>
                <w:i/>
                <w:color w:val="64748B"/>
                <w:sz w:val="18"/>
              </w:rPr>
              <w:t>05.08.2026</w:t>
            </w:r>
          </w:p>
        </w:tc>
        <w:tc>
          <w:tcPr>
            <w:tcW w:type="dxa" w:w="3628"/>
            <w:shd w:val="clear" w:fill="F1F5F9"/>
          </w:tcPr>
          <w:p>
            <w:pPr>
              <w:spacing w:after="0"/>
            </w:pPr>
            <w:r>
              <w:rPr>
                <w:b w:val="0"/>
                <w:i/>
                <w:color w:val="64748B"/>
                <w:sz w:val="18"/>
              </w:rPr>
              <w:t>Beispiel: Anwaltsvergütung, 1,3-Geschäftsgebühr Nr. 2300 VV RVG und Auslagenpauschale Nr. 7002 VV RVG, netto; Annahme: Gläubiger zum vollen Vorsteuerabzug berechtigt</w:t>
            </w:r>
          </w:p>
        </w:tc>
        <w:tc>
          <w:tcPr>
            <w:tcW w:type="dxa" w:w="1134"/>
            <w:shd w:val="clear" w:fill="F1F5F9"/>
          </w:tcPr>
          <w:p>
            <w:pPr>
              <w:spacing w:after="0"/>
              <w:jc w:val="right"/>
            </w:pPr>
            <w:r>
              <w:rPr>
                <w:b w:val="0"/>
                <w:i/>
                <w:color w:val="64748B"/>
                <w:sz w:val="18"/>
              </w:rPr>
              <w:t>1.010,60</w:t>
            </w:r>
          </w:p>
        </w:tc>
        <w:tc>
          <w:tcPr>
            <w:tcW w:type="dxa" w:w="1077"/>
            <w:shd w:val="clear" w:fill="F1F5F9"/>
          </w:tcPr>
          <w:p>
            <w:pPr>
              <w:spacing w:after="0"/>
              <w:jc w:val="right"/>
            </w:pPr>
            <w:r>
              <w:rPr>
                <w:b w:val="0"/>
                <w:i/>
                <w:color w:val="64748B"/>
                <w:sz w:val="18"/>
              </w:rPr>
            </w:r>
          </w:p>
        </w:tc>
        <w:tc>
          <w:tcPr>
            <w:tcW w:type="dxa" w:w="1304"/>
            <w:shd w:val="clear" w:fill="F1F5F9"/>
          </w:tcPr>
          <w:p>
            <w:pPr>
              <w:spacing w:after="0"/>
              <w:jc w:val="right"/>
            </w:pPr>
            <w:r>
              <w:rPr>
                <w:b w:val="0"/>
                <w:i/>
                <w:color w:val="64748B"/>
                <w:sz w:val="18"/>
              </w:rPr>
            </w:r>
          </w:p>
        </w:tc>
        <w:tc>
          <w:tcPr>
            <w:tcW w:type="dxa" w:w="1361"/>
            <w:shd w:val="clear" w:fill="F1F5F9"/>
          </w:tcPr>
          <w:p>
            <w:pPr>
              <w:spacing w:after="0"/>
              <w:jc w:val="right"/>
            </w:pPr>
            <w:r>
              <w:rPr>
                <w:b w:val="0"/>
                <w:i/>
                <w:color w:val="64748B"/>
                <w:sz w:val="18"/>
              </w:rPr>
              <w:t>16.010,60</w:t>
            </w:r>
          </w:p>
        </w:tc>
      </w:tr>
      <w:tr>
        <w:tc>
          <w:tcPr>
            <w:tcW w:type="dxa" w:w="1134"/>
            <w:shd w:val="clear" w:fill="F1F5F9"/>
          </w:tcPr>
          <w:p>
            <w:pPr>
              <w:spacing w:after="0"/>
            </w:pPr>
            <w:r>
              <w:rPr>
                <w:b w:val="0"/>
                <w:i/>
                <w:color w:val="64748B"/>
                <w:sz w:val="18"/>
              </w:rPr>
              <w:t>20.08.2026</w:t>
            </w:r>
          </w:p>
        </w:tc>
        <w:tc>
          <w:tcPr>
            <w:tcW w:type="dxa" w:w="3628"/>
            <w:shd w:val="clear" w:fill="F1F5F9"/>
          </w:tcPr>
          <w:p>
            <w:pPr>
              <w:spacing w:after="0"/>
            </w:pPr>
            <w:r>
              <w:rPr>
                <w:b w:val="0"/>
                <w:i/>
                <w:color w:val="64748B"/>
                <w:sz w:val="18"/>
              </w:rPr>
              <w:t>Beispiel: Verzugszinsen 10,52 % p. a. auf 15.000,00 € vom 15.07.2026 bis 20.08.2026 (37 Tage)</w:t>
            </w:r>
          </w:p>
        </w:tc>
        <w:tc>
          <w:tcPr>
            <w:tcW w:type="dxa" w:w="1134"/>
            <w:shd w:val="clear" w:fill="F1F5F9"/>
          </w:tcPr>
          <w:p>
            <w:pPr>
              <w:spacing w:after="0"/>
              <w:jc w:val="right"/>
            </w:pPr>
            <w:r>
              <w:rPr>
                <w:b w:val="0"/>
                <w:i/>
                <w:color w:val="64748B"/>
                <w:sz w:val="18"/>
              </w:rPr>
              <w:t>159,96</w:t>
            </w:r>
          </w:p>
        </w:tc>
        <w:tc>
          <w:tcPr>
            <w:tcW w:type="dxa" w:w="1077"/>
            <w:shd w:val="clear" w:fill="F1F5F9"/>
          </w:tcPr>
          <w:p>
            <w:pPr>
              <w:spacing w:after="0"/>
              <w:jc w:val="right"/>
            </w:pPr>
            <w:r>
              <w:rPr>
                <w:b w:val="0"/>
                <w:i/>
                <w:color w:val="64748B"/>
                <w:sz w:val="18"/>
              </w:rPr>
            </w:r>
          </w:p>
        </w:tc>
        <w:tc>
          <w:tcPr>
            <w:tcW w:type="dxa" w:w="1304"/>
            <w:shd w:val="clear" w:fill="F1F5F9"/>
          </w:tcPr>
          <w:p>
            <w:pPr>
              <w:spacing w:after="0"/>
              <w:jc w:val="right"/>
            </w:pPr>
            <w:r>
              <w:rPr>
                <w:b w:val="0"/>
                <w:i/>
                <w:color w:val="64748B"/>
                <w:sz w:val="18"/>
              </w:rPr>
            </w:r>
          </w:p>
        </w:tc>
        <w:tc>
          <w:tcPr>
            <w:tcW w:type="dxa" w:w="1361"/>
            <w:shd w:val="clear" w:fill="F1F5F9"/>
          </w:tcPr>
          <w:p>
            <w:pPr>
              <w:spacing w:after="0"/>
              <w:jc w:val="right"/>
            </w:pPr>
            <w:r>
              <w:rPr>
                <w:b w:val="0"/>
                <w:i/>
                <w:color w:val="64748B"/>
                <w:sz w:val="18"/>
              </w:rPr>
              <w:t>16.170,56</w:t>
            </w:r>
          </w:p>
        </w:tc>
      </w:tr>
      <w:tr>
        <w:tc>
          <w:tcPr>
            <w:tcW w:type="dxa" w:w="1134"/>
            <w:shd w:val="clear" w:fill="F1F5F9"/>
          </w:tcPr>
          <w:p>
            <w:pPr>
              <w:spacing w:after="0"/>
            </w:pPr>
            <w:r>
              <w:rPr>
                <w:b w:val="0"/>
                <w:i/>
                <w:color w:val="64748B"/>
                <w:sz w:val="18"/>
              </w:rPr>
              <w:t>20.08.2026</w:t>
            </w:r>
          </w:p>
        </w:tc>
        <w:tc>
          <w:tcPr>
            <w:tcW w:type="dxa" w:w="3628"/>
            <w:shd w:val="clear" w:fill="F1F5F9"/>
          </w:tcPr>
          <w:p>
            <w:pPr>
              <w:spacing w:after="0"/>
            </w:pPr>
            <w:r>
              <w:rPr>
                <w:b w:val="0"/>
                <w:i/>
                <w:color w:val="64748B"/>
                <w:sz w:val="18"/>
              </w:rPr>
              <w:t>Beispiel: Zahlung des Schuldners</w:t>
            </w:r>
          </w:p>
        </w:tc>
        <w:tc>
          <w:tcPr>
            <w:tcW w:type="dxa" w:w="1134"/>
            <w:shd w:val="clear" w:fill="F1F5F9"/>
          </w:tcPr>
          <w:p>
            <w:pPr>
              <w:spacing w:after="0"/>
              <w:jc w:val="right"/>
            </w:pPr>
            <w:r>
              <w:rPr>
                <w:b w:val="0"/>
                <w:i/>
                <w:color w:val="64748B"/>
                <w:sz w:val="18"/>
              </w:rPr>
            </w:r>
          </w:p>
        </w:tc>
        <w:tc>
          <w:tcPr>
            <w:tcW w:type="dxa" w:w="1077"/>
            <w:shd w:val="clear" w:fill="F1F5F9"/>
          </w:tcPr>
          <w:p>
            <w:pPr>
              <w:spacing w:after="0"/>
              <w:jc w:val="right"/>
            </w:pPr>
            <w:r>
              <w:rPr>
                <w:b w:val="0"/>
                <w:i/>
                <w:color w:val="64748B"/>
                <w:sz w:val="18"/>
              </w:rPr>
              <w:t>2.500,00</w:t>
            </w:r>
          </w:p>
        </w:tc>
        <w:tc>
          <w:tcPr>
            <w:tcW w:type="dxa" w:w="1304"/>
            <w:shd w:val="clear" w:fill="F1F5F9"/>
          </w:tcPr>
          <w:p>
            <w:pPr>
              <w:spacing w:after="0"/>
              <w:jc w:val="right"/>
            </w:pPr>
            <w:r>
              <w:rPr>
                <w:b w:val="0"/>
                <w:i/>
                <w:color w:val="64748B"/>
                <w:sz w:val="18"/>
              </w:rPr>
            </w:r>
          </w:p>
        </w:tc>
        <w:tc>
          <w:tcPr>
            <w:tcW w:type="dxa" w:w="1361"/>
            <w:shd w:val="clear" w:fill="F1F5F9"/>
          </w:tcPr>
          <w:p>
            <w:pPr>
              <w:spacing w:after="0"/>
              <w:jc w:val="right"/>
            </w:pPr>
            <w:r>
              <w:rPr>
                <w:b w:val="0"/>
                <w:i/>
                <w:color w:val="64748B"/>
                <w:sz w:val="18"/>
              </w:rPr>
            </w:r>
          </w:p>
        </w:tc>
      </w:tr>
      <w:tr>
        <w:tc>
          <w:tcPr>
            <w:tcW w:type="dxa" w:w="1134"/>
            <w:shd w:val="clear" w:fill="F1F5F9"/>
          </w:tcPr>
          <w:p>
            <w:pPr>
              <w:spacing w:after="0"/>
            </w:pPr>
            <w:r>
              <w:rPr>
                <w:b w:val="0"/>
                <w:i/>
                <w:color w:val="64748B"/>
                <w:sz w:val="18"/>
              </w:rPr>
            </w:r>
          </w:p>
        </w:tc>
        <w:tc>
          <w:tcPr>
            <w:tcW w:type="dxa" w:w="3628"/>
            <w:shd w:val="clear" w:fill="F1F5F9"/>
          </w:tcPr>
          <w:p>
            <w:pPr>
              <w:spacing w:after="0"/>
            </w:pPr>
            <w:r>
              <w:rPr>
                <w:b w:val="0"/>
                <w:i/>
                <w:color w:val="64748B"/>
                <w:sz w:val="18"/>
              </w:rPr>
              <w:t>angerechnet auf die Kosten</w:t>
            </w:r>
          </w:p>
        </w:tc>
        <w:tc>
          <w:tcPr>
            <w:tcW w:type="dxa" w:w="1134"/>
            <w:shd w:val="clear" w:fill="F1F5F9"/>
          </w:tcPr>
          <w:p>
            <w:pPr>
              <w:spacing w:after="0"/>
              <w:jc w:val="right"/>
            </w:pPr>
            <w:r>
              <w:rPr>
                <w:b w:val="0"/>
                <w:i/>
                <w:color w:val="64748B"/>
                <w:sz w:val="18"/>
              </w:rPr>
            </w:r>
          </w:p>
        </w:tc>
        <w:tc>
          <w:tcPr>
            <w:tcW w:type="dxa" w:w="1077"/>
            <w:shd w:val="clear" w:fill="F1F5F9"/>
          </w:tcPr>
          <w:p>
            <w:pPr>
              <w:spacing w:after="0"/>
              <w:jc w:val="right"/>
            </w:pPr>
            <w:r>
              <w:rPr>
                <w:b w:val="0"/>
                <w:i/>
                <w:color w:val="64748B"/>
                <w:sz w:val="18"/>
              </w:rPr>
            </w:r>
          </w:p>
        </w:tc>
        <w:tc>
          <w:tcPr>
            <w:tcW w:type="dxa" w:w="1304"/>
            <w:shd w:val="clear" w:fill="F1F5F9"/>
          </w:tcPr>
          <w:p>
            <w:pPr>
              <w:spacing w:after="0"/>
              <w:jc w:val="right"/>
            </w:pPr>
            <w:r>
              <w:rPr>
                <w:b w:val="0"/>
                <w:i/>
                <w:color w:val="64748B"/>
                <w:sz w:val="18"/>
              </w:rPr>
              <w:t>1.010,60</w:t>
            </w:r>
          </w:p>
        </w:tc>
        <w:tc>
          <w:tcPr>
            <w:tcW w:type="dxa" w:w="1361"/>
            <w:shd w:val="clear" w:fill="F1F5F9"/>
          </w:tcPr>
          <w:p>
            <w:pPr>
              <w:spacing w:after="0"/>
              <w:jc w:val="right"/>
            </w:pPr>
            <w:r>
              <w:rPr>
                <w:b w:val="0"/>
                <w:i/>
                <w:color w:val="64748B"/>
                <w:sz w:val="18"/>
              </w:rPr>
              <w:t>15.159,96</w:t>
            </w:r>
          </w:p>
        </w:tc>
      </w:tr>
      <w:tr>
        <w:tc>
          <w:tcPr>
            <w:tcW w:type="dxa" w:w="1134"/>
            <w:shd w:val="clear" w:fill="F1F5F9"/>
          </w:tcPr>
          <w:p>
            <w:pPr>
              <w:spacing w:after="0"/>
            </w:pPr>
            <w:r>
              <w:rPr>
                <w:b w:val="0"/>
                <w:i/>
                <w:color w:val="64748B"/>
                <w:sz w:val="18"/>
              </w:rPr>
            </w:r>
          </w:p>
        </w:tc>
        <w:tc>
          <w:tcPr>
            <w:tcW w:type="dxa" w:w="3628"/>
            <w:shd w:val="clear" w:fill="F1F5F9"/>
          </w:tcPr>
          <w:p>
            <w:pPr>
              <w:spacing w:after="0"/>
            </w:pPr>
            <w:r>
              <w:rPr>
                <w:b w:val="0"/>
                <w:i/>
                <w:color w:val="64748B"/>
                <w:sz w:val="18"/>
              </w:rPr>
              <w:t>angerechnet auf die Zinsen</w:t>
            </w:r>
          </w:p>
        </w:tc>
        <w:tc>
          <w:tcPr>
            <w:tcW w:type="dxa" w:w="1134"/>
            <w:shd w:val="clear" w:fill="F1F5F9"/>
          </w:tcPr>
          <w:p>
            <w:pPr>
              <w:spacing w:after="0"/>
              <w:jc w:val="right"/>
            </w:pPr>
            <w:r>
              <w:rPr>
                <w:b w:val="0"/>
                <w:i/>
                <w:color w:val="64748B"/>
                <w:sz w:val="18"/>
              </w:rPr>
            </w:r>
          </w:p>
        </w:tc>
        <w:tc>
          <w:tcPr>
            <w:tcW w:type="dxa" w:w="1077"/>
            <w:shd w:val="clear" w:fill="F1F5F9"/>
          </w:tcPr>
          <w:p>
            <w:pPr>
              <w:spacing w:after="0"/>
              <w:jc w:val="right"/>
            </w:pPr>
            <w:r>
              <w:rPr>
                <w:b w:val="0"/>
                <w:i/>
                <w:color w:val="64748B"/>
                <w:sz w:val="18"/>
              </w:rPr>
            </w:r>
          </w:p>
        </w:tc>
        <w:tc>
          <w:tcPr>
            <w:tcW w:type="dxa" w:w="1304"/>
            <w:shd w:val="clear" w:fill="F1F5F9"/>
          </w:tcPr>
          <w:p>
            <w:pPr>
              <w:spacing w:after="0"/>
              <w:jc w:val="right"/>
            </w:pPr>
            <w:r>
              <w:rPr>
                <w:b w:val="0"/>
                <w:i/>
                <w:color w:val="64748B"/>
                <w:sz w:val="18"/>
              </w:rPr>
              <w:t>159,96</w:t>
            </w:r>
          </w:p>
        </w:tc>
        <w:tc>
          <w:tcPr>
            <w:tcW w:type="dxa" w:w="1361"/>
            <w:shd w:val="clear" w:fill="F1F5F9"/>
          </w:tcPr>
          <w:p>
            <w:pPr>
              <w:spacing w:after="0"/>
              <w:jc w:val="right"/>
            </w:pPr>
            <w:r>
              <w:rPr>
                <w:b w:val="0"/>
                <w:i/>
                <w:color w:val="64748B"/>
                <w:sz w:val="18"/>
              </w:rPr>
              <w:t>15.000,00</w:t>
            </w:r>
          </w:p>
        </w:tc>
      </w:tr>
      <w:tr>
        <w:tc>
          <w:tcPr>
            <w:tcW w:type="dxa" w:w="1134"/>
            <w:shd w:val="clear" w:fill="F1F5F9"/>
          </w:tcPr>
          <w:p>
            <w:pPr>
              <w:spacing w:after="0"/>
            </w:pPr>
            <w:r>
              <w:rPr>
                <w:b w:val="0"/>
                <w:i/>
                <w:color w:val="64748B"/>
                <w:sz w:val="18"/>
              </w:rPr>
            </w:r>
          </w:p>
        </w:tc>
        <w:tc>
          <w:tcPr>
            <w:tcW w:type="dxa" w:w="3628"/>
            <w:shd w:val="clear" w:fill="F1F5F9"/>
          </w:tcPr>
          <w:p>
            <w:pPr>
              <w:spacing w:after="0"/>
            </w:pPr>
            <w:r>
              <w:rPr>
                <w:b w:val="0"/>
                <w:i/>
                <w:color w:val="64748B"/>
                <w:sz w:val="18"/>
              </w:rPr>
              <w:t>angerechnet auf die Hauptforderung</w:t>
            </w:r>
          </w:p>
        </w:tc>
        <w:tc>
          <w:tcPr>
            <w:tcW w:type="dxa" w:w="1134"/>
            <w:shd w:val="clear" w:fill="F1F5F9"/>
          </w:tcPr>
          <w:p>
            <w:pPr>
              <w:spacing w:after="0"/>
              <w:jc w:val="right"/>
            </w:pPr>
            <w:r>
              <w:rPr>
                <w:b w:val="0"/>
                <w:i/>
                <w:color w:val="64748B"/>
                <w:sz w:val="18"/>
              </w:rPr>
            </w:r>
          </w:p>
        </w:tc>
        <w:tc>
          <w:tcPr>
            <w:tcW w:type="dxa" w:w="1077"/>
            <w:shd w:val="clear" w:fill="F1F5F9"/>
          </w:tcPr>
          <w:p>
            <w:pPr>
              <w:spacing w:after="0"/>
              <w:jc w:val="right"/>
            </w:pPr>
            <w:r>
              <w:rPr>
                <w:b w:val="0"/>
                <w:i/>
                <w:color w:val="64748B"/>
                <w:sz w:val="18"/>
              </w:rPr>
            </w:r>
          </w:p>
        </w:tc>
        <w:tc>
          <w:tcPr>
            <w:tcW w:type="dxa" w:w="1304"/>
            <w:shd w:val="clear" w:fill="F1F5F9"/>
          </w:tcPr>
          <w:p>
            <w:pPr>
              <w:spacing w:after="0"/>
              <w:jc w:val="right"/>
            </w:pPr>
            <w:r>
              <w:rPr>
                <w:b w:val="0"/>
                <w:i/>
                <w:color w:val="64748B"/>
                <w:sz w:val="18"/>
              </w:rPr>
              <w:t>1.329,44</w:t>
            </w:r>
          </w:p>
        </w:tc>
        <w:tc>
          <w:tcPr>
            <w:tcW w:type="dxa" w:w="1361"/>
            <w:shd w:val="clear" w:fill="F1F5F9"/>
          </w:tcPr>
          <w:p>
            <w:pPr>
              <w:spacing w:after="0"/>
              <w:jc w:val="right"/>
            </w:pPr>
            <w:r>
              <w:rPr>
                <w:b w:val="0"/>
                <w:i/>
                <w:color w:val="64748B"/>
                <w:sz w:val="18"/>
              </w:rPr>
              <w:t>13.670,56</w:t>
            </w:r>
          </w:p>
        </w:tc>
      </w:tr>
      <w:tr>
        <w:tc>
          <w:tcPr>
            <w:tcW w:type="dxa" w:w="1134"/>
            <w:shd w:val="clear" w:fill="F1F5F9"/>
          </w:tcPr>
          <w:p>
            <w:pPr>
              <w:spacing w:after="0"/>
            </w:pPr>
            <w:r>
              <w:rPr>
                <w:b w:val="0"/>
                <w:i/>
                <w:color w:val="64748B"/>
                <w:sz w:val="18"/>
              </w:rPr>
              <w:t>30.09.2026</w:t>
            </w:r>
          </w:p>
        </w:tc>
        <w:tc>
          <w:tcPr>
            <w:tcW w:type="dxa" w:w="3628"/>
            <w:shd w:val="clear" w:fill="F1F5F9"/>
          </w:tcPr>
          <w:p>
            <w:pPr>
              <w:spacing w:after="0"/>
            </w:pPr>
            <w:r>
              <w:rPr>
                <w:b w:val="0"/>
                <w:i/>
                <w:color w:val="64748B"/>
                <w:sz w:val="18"/>
              </w:rPr>
              <w:t>Beispiel: Verzugszinsen 10,52 % p. a. auf 13.670,56 € vom 21.08.2026 bis 30.09.2026 (41 Tage)</w:t>
            </w:r>
          </w:p>
        </w:tc>
        <w:tc>
          <w:tcPr>
            <w:tcW w:type="dxa" w:w="1134"/>
            <w:shd w:val="clear" w:fill="F1F5F9"/>
          </w:tcPr>
          <w:p>
            <w:pPr>
              <w:spacing w:after="0"/>
              <w:jc w:val="right"/>
            </w:pPr>
            <w:r>
              <w:rPr>
                <w:b w:val="0"/>
                <w:i/>
                <w:color w:val="64748B"/>
                <w:sz w:val="18"/>
              </w:rPr>
              <w:t>161,54</w:t>
            </w:r>
          </w:p>
        </w:tc>
        <w:tc>
          <w:tcPr>
            <w:tcW w:type="dxa" w:w="1077"/>
            <w:shd w:val="clear" w:fill="F1F5F9"/>
          </w:tcPr>
          <w:p>
            <w:pPr>
              <w:spacing w:after="0"/>
              <w:jc w:val="right"/>
            </w:pPr>
            <w:r>
              <w:rPr>
                <w:b w:val="0"/>
                <w:i/>
                <w:color w:val="64748B"/>
                <w:sz w:val="18"/>
              </w:rPr>
            </w:r>
          </w:p>
        </w:tc>
        <w:tc>
          <w:tcPr>
            <w:tcW w:type="dxa" w:w="1304"/>
            <w:shd w:val="clear" w:fill="F1F5F9"/>
          </w:tcPr>
          <w:p>
            <w:pPr>
              <w:spacing w:after="0"/>
              <w:jc w:val="right"/>
            </w:pPr>
            <w:r>
              <w:rPr>
                <w:b w:val="0"/>
                <w:i/>
                <w:color w:val="64748B"/>
                <w:sz w:val="18"/>
              </w:rPr>
            </w:r>
          </w:p>
        </w:tc>
        <w:tc>
          <w:tcPr>
            <w:tcW w:type="dxa" w:w="1361"/>
            <w:shd w:val="clear" w:fill="F1F5F9"/>
          </w:tcPr>
          <w:p>
            <w:pPr>
              <w:spacing w:after="0"/>
              <w:jc w:val="right"/>
            </w:pPr>
            <w:r>
              <w:rPr>
                <w:b w:val="0"/>
                <w:i/>
                <w:color w:val="64748B"/>
                <w:sz w:val="18"/>
              </w:rPr>
              <w:t>13.832,10</w:t>
            </w:r>
          </w:p>
        </w:tc>
      </w:tr>
      <w:tr>
        <w:tc>
          <w:tcPr>
            <w:tcW w:type="dxa" w:w="1134"/>
            <w:shd w:val="clear" w:fill="F1F5F9"/>
          </w:tcPr>
          <w:p>
            <w:pPr>
              <w:spacing w:after="0"/>
            </w:pPr>
            <w:r>
              <w:rPr>
                <w:b/>
                <w:i w:val="0"/>
                <w:color w:val="64748B"/>
                <w:sz w:val="18"/>
              </w:rPr>
              <w:t>30.09.2026</w:t>
            </w:r>
          </w:p>
        </w:tc>
        <w:tc>
          <w:tcPr>
            <w:tcW w:type="dxa" w:w="3628"/>
            <w:shd w:val="clear" w:fill="F1F5F9"/>
          </w:tcPr>
          <w:p>
            <w:pPr>
              <w:spacing w:after="0"/>
            </w:pPr>
            <w:r>
              <w:rPr>
                <w:b/>
                <w:i w:val="0"/>
                <w:color w:val="64748B"/>
                <w:sz w:val="18"/>
              </w:rPr>
              <w:t>Beispiel: Offene Forderung am 30.09.2026</w:t>
            </w:r>
          </w:p>
        </w:tc>
        <w:tc>
          <w:tcPr>
            <w:tcW w:type="dxa" w:w="1134"/>
            <w:shd w:val="clear" w:fill="F1F5F9"/>
          </w:tcPr>
          <w:p>
            <w:pPr>
              <w:spacing w:after="0"/>
              <w:jc w:val="right"/>
            </w:pPr>
            <w:r>
              <w:rPr>
                <w:b/>
                <w:i w:val="0"/>
                <w:color w:val="64748B"/>
                <w:sz w:val="18"/>
              </w:rPr>
            </w:r>
          </w:p>
        </w:tc>
        <w:tc>
          <w:tcPr>
            <w:tcW w:type="dxa" w:w="1077"/>
            <w:shd w:val="clear" w:fill="F1F5F9"/>
          </w:tcPr>
          <w:p>
            <w:pPr>
              <w:spacing w:after="0"/>
              <w:jc w:val="right"/>
            </w:pPr>
            <w:r>
              <w:rPr>
                <w:b/>
                <w:i w:val="0"/>
                <w:color w:val="64748B"/>
                <w:sz w:val="18"/>
              </w:rPr>
            </w:r>
          </w:p>
        </w:tc>
        <w:tc>
          <w:tcPr>
            <w:tcW w:type="dxa" w:w="1304"/>
            <w:shd w:val="clear" w:fill="F1F5F9"/>
          </w:tcPr>
          <w:p>
            <w:pPr>
              <w:spacing w:after="0"/>
              <w:jc w:val="right"/>
            </w:pPr>
            <w:r>
              <w:rPr>
                <w:b/>
                <w:i w:val="0"/>
                <w:color w:val="64748B"/>
                <w:sz w:val="18"/>
              </w:rPr>
            </w:r>
          </w:p>
        </w:tc>
        <w:tc>
          <w:tcPr>
            <w:tcW w:type="dxa" w:w="1361"/>
            <w:shd w:val="clear" w:fill="F1F5F9"/>
          </w:tcPr>
          <w:p>
            <w:pPr>
              <w:spacing w:after="0"/>
              <w:jc w:val="right"/>
            </w:pPr>
            <w:r>
              <w:rPr>
                <w:b/>
                <w:i w:val="0"/>
                <w:color w:val="64748B"/>
                <w:sz w:val="18"/>
              </w:rPr>
              <w:t>13.832,10</w:t>
            </w:r>
          </w:p>
        </w:tc>
      </w:tr>
    </w:tbl>
    <w:p>
      <w:pPr>
        <w:spacing w:before="0" w:after="0" w:line="80" w:lineRule="exact"/>
      </w:pPr>
    </w:p>
    <w:p>
      <w:pPr>
        <w:spacing w:after="120"/>
      </w:pPr>
      <w:r>
        <w:rPr>
          <w:b w:val="0"/>
          <w:i/>
          <w:color w:val="64748B"/>
          <w:sz w:val="18"/>
        </w:rPr>
        <w:t>Dieses Dokument rechnet nicht. Das Beispiel zeigt, wie eine Teilzahlung im Regelfall des § 367 Abs. 1 BGB eingetragen wird: Sie wird am Zahlungstag zuerst auf die Kosten, dann auf die Zinsen und zuletzt auf die Hauptforderung angerechnet; ab dem Folgetag wird nur noch der Rest der Hauptforderung verzinst. Die Beträge sind mit fordify berechnet (365 Tage pro Jahr). Die Erstattungsfähigkeit der angesetzten Anwaltskosten wird im Beispiel vorausgesetzt. Auf die Kosten werden in diesem Beispiel keine Zinsen angesetzt. Ob hierfür ein eigener Zinsanspruch besteht, ist gesondert zu prüfen.</w:t>
      </w:r>
    </w:p>
    <w:tbl>
      <w:tblPr>
        <w:tblStyle w:val="TableGrid"/>
        <w:tblW w:type="auto" w:w="0"/>
        <w:tblLook w:firstColumn="1" w:firstRow="1" w:lastColumn="0" w:lastRow="0" w:noHBand="0" w:noVBand="1" w:val="04A0"/>
      </w:tblPr>
      <w:tblGrid>
        <w:gridCol w:w="9638"/>
      </w:tblGrid>
      <w:tr>
        <w:tc>
          <w:tcPr>
            <w:tcW w:type="dxa" w:w="9638"/>
            <w:shd w:val="clear" w:fill="F8FAFC"/>
          </w:tcPr>
          <w:p>
            <w:pPr>
              <w:spacing w:after="60"/>
            </w:pPr>
            <w:r>
              <w:rPr>
                <w:b/>
                <w:color w:val="1E3A8A"/>
                <w:sz w:val="22"/>
              </w:rPr>
              <w:t>Welcher Zinssatz gilt?</w:t>
            </w:r>
          </w:p>
          <w:p>
            <w:pPr>
              <w:spacing w:after="80"/>
            </w:pPr>
            <w:r>
              <w:rPr>
                <w:b w:val="0"/>
                <w:i w:val="0"/>
                <w:sz w:val="18"/>
              </w:rPr>
              <w:t>5 oder 9 Prozentpunkte über dem Basiszinssatz (§ 288 BGB) – welcher Satz in Ihrem Fall gilt, klärt fordify.de/zinsrechner. Dort steht auch der aktuelle Basiszinssatz.</w:t>
            </w:r>
          </w:p>
        </w:tc>
      </w:tr>
    </w:tbl>
    <w:p>
      <w:pPr>
        <w:spacing w:before="0" w:after="0" w:line="80" w:lineRule="exact"/>
      </w:pPr>
    </w:p>
    <w:tbl>
      <w:tblPr>
        <w:tblStyle w:val="TableGrid"/>
        <w:tblW w:type="auto" w:w="0"/>
        <w:tblLook w:firstColumn="1" w:firstRow="1" w:lastColumn="0" w:lastRow="0" w:noHBand="0" w:noVBand="1" w:val="04A0"/>
      </w:tblPr>
      <w:tblGrid>
        <w:gridCol w:w="9638"/>
      </w:tblGrid>
      <w:tr>
        <w:tc>
          <w:tcPr>
            <w:tcW w:type="dxa" w:w="9638"/>
            <w:shd w:val="clear" w:fill="F8FAFC"/>
          </w:tcPr>
          <w:p>
            <w:pPr>
              <w:spacing w:after="60"/>
            </w:pPr>
            <w:r>
              <w:rPr>
                <w:b/>
                <w:color w:val="1E3A8A"/>
                <w:sz w:val="22"/>
              </w:rPr>
              <w:t>Was diese Vorlage nicht rechnet</w:t>
            </w:r>
          </w:p>
          <w:p>
            <w:pPr>
              <w:spacing w:after="80"/>
            </w:pPr>
            <w:r>
              <w:rPr>
                <w:b w:val="0"/>
                <w:i w:val="0"/>
                <w:sz w:val="18"/>
              </w:rPr>
              <w:t>Verzugszinsen über einen Basiszinswechsel hinweg. Der Basiszinssatz nach § 247 BGB ändert sich zum 1. Januar und zum 1. Juli. Läuft der Verzug über so ein Datum, muss der Zeitraum geteilt und jeder Abschnitt mit seinem eigenen Satz gerechnet werden.</w:t>
            </w:r>
          </w:p>
          <w:p>
            <w:pPr>
              <w:spacing w:after="80"/>
            </w:pPr>
            <w:r>
              <w:rPr>
                <w:b w:val="0"/>
                <w:i w:val="0"/>
                <w:sz w:val="18"/>
              </w:rPr>
              <w:t>Die Anrechnung von Teilzahlungen. Eine Zahlung tilgt zuerst die Kosten, dann die Zinsen und zuletzt die Hauptforderung (§ 367 Abs. 1 BGB). Abweichende Tilgungsbestimmungen und besondere gesetzliche Anrechnungsregeln sind gesondert zu beachten. Erstens wirksame abweichende Bestimmungen oder Vereinbarungen: eine Tilgungsbestimmung des Schuldners (§ 367 Abs. 2 BGB), ein Vergleich oder eine entsprechend ausgestaltete Ratenzahlungsvereinbarung. Zweitens gesetzliche Sonderregelungen – etwa § 497 Abs. 3 BGB für Verbraucherdarlehen im Verzug, der Rechtsverfolgungskosten vorrangig lässt und danach den übrigen geschuldeten Betrag vor den nach Eintritt des Verzugs anfallenden Zinsen tilgt. Diese besondere Anrechnungsreihenfolge gilt nicht für Immobiliar-Verbraucherdarlehen. Von diesen Schutzvorschriften darf nicht zum Nachteil des Verbrauchers abgewichen werden (§ 512 BGB), günstigere Vereinbarungen bleiben möglich. fordify beherrscht diese Fälle, diese Vorlage nicht.</w:t>
            </w:r>
          </w:p>
          <w:p>
            <w:pPr>
              <w:spacing w:after="80"/>
            </w:pPr>
            <w:r>
              <w:rPr>
                <w:b w:val="0"/>
                <w:i w:val="0"/>
                <w:sz w:val="18"/>
              </w:rPr>
              <w:t>Eine Zahlung kann auch eine noch nicht fällige Forderung tilgen, wenn diese bereits erfüllt werden darf. Bei mehreren Forderungen sind insbesondere eine wirksame Tilgungsbestimmung und die gesetzliche Reihenfolge nach §§ 366, 367 BGB zu beachten.</w:t>
            </w:r>
          </w:p>
          <w:p>
            <w:pPr>
              <w:spacing w:after="80"/>
            </w:pPr>
            <w:r>
              <w:rPr>
                <w:b w:val="0"/>
                <w:i w:val="0"/>
                <w:sz w:val="18"/>
              </w:rPr>
              <w:t>Wer eine Teilzahlung erst am Schluss von der Summe abzieht, kann dadurch zu hohe Zinsen ausweisen – soweit die Zahlung vorher die verzinsliche Hauptforderung vermindert hätte. Trifft sie dagegen vollständig auf Kosten und Zinsen, sinkt die Hauptforderung nicht, und der Schlussabzug führt zum selben Saldo. Im Regelfall des § 367 Abs. 1 BGB wird die Zahlung am Zahlungstag auf Kosten, Zinsen und Hauptforderung angerechnet; ab dem Folgetag wird die verbleibende Hauptforderung weiter verzinst. Soweit die Zahlung die Hauptforderung vermindert, muss das bereits bei der Zinsberechnung bis zum heutigen Stichtag berücksichtigt werden.</w:t>
            </w:r>
          </w:p>
          <w:p>
            <w:pPr>
              <w:spacing w:after="40"/>
            </w:pPr>
            <w:r>
              <w:rPr>
                <w:b/>
                <w:color w:val="1E3A8A"/>
                <w:sz w:val="20"/>
              </w:rPr>
              <w:t xml:space="preserve">Das alles rechnet fordify automatisch mit: </w:t>
            </w:r>
            <w:hyperlink r:id="rId9">
              <w:r>
                <w:rPr>
                  <w:color w:val="1E3A8A"/>
                  <w:u w:val="single"/>
                  <w:sz w:val="20"/>
                  <w:b/>
                </w:rPr>
                <w:t>fordify.de/forderungsaufstellung</w:t>
              </w:r>
            </w:hyperlink>
          </w:p>
        </w:tc>
      </w:tr>
    </w:tbl>
    <w:p>
      <w:pPr>
        <w:spacing w:before="0" w:after="0" w:line="80" w:lineRule="exact"/>
      </w:pPr>
    </w:p>
    <w:p>
      <w:pPr>
        <w:spacing w:after="0"/>
      </w:pPr>
      <w:r>
        <w:rPr>
          <w:b w:val="0"/>
          <w:i w:val="0"/>
          <w:color w:val="64748B"/>
          <w:sz w:val="18"/>
        </w:rPr>
        <w:t>Bitte prüfen Sie das Ergebnis vor der Verwendung im Einzelfall.</w:t>
      </w:r>
    </w:p>
    <w:sectPr w:rsidR="00FC693F" w:rsidRPr="0006063C" w:rsidSect="00034616">
      <w:pgSz w:w="11906" w:h="16838"/>
      <w:pgMar w:top="794" w:right="1134" w:bottom="79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fordify.de/forderungsaufstellung?von=vorlage-date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fordify Vorlagengenerator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fordify</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Forderungsaufstellung – Vorlage</dc:title>
  <dc:subject>Forderungsaufstellung nach § 367 BGB</dc:subject>
  <dc:creator>fordify</dc:creator>
  <cp:keywords>Forderungsaufstellung, Forderungskonto, Vorlage, § 367 BGB</cp:keywords>
  <dc:description>Kostenlose Vorlage von fordify.de. Erzeugt mit tools/vorlage-bauen.py.</dc:description>
  <cp:lastModifiedBy>fordify</cp:lastModifiedBy>
  <cp:revision>1</cp:revision>
  <dcterms:created xsi:type="dcterms:W3CDTF">2026-09-28T12:00:00Z</dcterms:created>
  <dcterms:modified xsi:type="dcterms:W3CDTF">2026-09-28T12:00:00Z</dcterms:modified>
  <cp:category/>
  <dc:language>de-DE</dc:language>
</cp:coreProperties>
</file>